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bidi w:val="1"/>
      </w:pPr>
      <w:r>
        <w:rPr>
          <w:rFonts w:ascii="Arial" w:hAnsi="Arial" w:cs="Arial"/>
          <w:b/>
          <w:color w:val="102B3F"/>
          <w:sz w:val="48"/>
          <w:rtl w:val="1"/>
        </w:rPr>
        <w:t>הסכם תיווך – תבנית</w:t>
      </w:r>
    </w:p>
    <w:p>
      <w:pPr>
        <w:spacing w:after="320" w:line="276" w:lineRule="auto"/>
        <w:jc w:val="left"/>
        <w:bidi w:val="1"/>
      </w:pPr>
      <w:r>
        <w:rPr>
          <w:rFonts w:ascii="Arial" w:hAnsi="Arial" w:cs="Arial"/>
          <w:b w:val="0"/>
          <w:color w:val="5C707B"/>
          <w:sz w:val="22"/>
          <w:rtl w:val="1"/>
        </w:rPr>
        <w:t>תבנית בסיסית להתקשרות לקבלת שירותי תיווך, הכוללת סעיף בוררות FairPath.</w:t>
      </w:r>
    </w:p>
    <w:p>
      <w:pPr>
        <w:spacing w:after="140" w:line="276" w:lineRule="auto"/>
        <w:jc w:val="left"/>
        <w:bidi w:val="1"/>
      </w:pPr>
      <w:r>
        <w:rPr>
          <w:rFonts w:ascii="Arial" w:hAnsi="Arial" w:cs="Arial"/>
          <w:b/>
          <w:color w:val="15866F"/>
          <w:sz w:val="30"/>
          <w:rtl w:val="1"/>
        </w:rPr>
        <w:t>פרטי הצדדים</w:t>
      </w:r>
    </w:p>
    <w:p>
      <w:pPr>
        <w:spacing w:after="40" w:line="276" w:lineRule="auto"/>
        <w:jc w:val="left"/>
        <w:bidi w:val="1"/>
      </w:pPr>
      <w:r>
        <w:rPr>
          <w:rFonts w:ascii="Arial" w:hAnsi="Arial" w:cs="Arial"/>
          <w:b/>
          <w:color w:val="102B3F"/>
          <w:sz w:val="22"/>
          <w:rtl w:val="1"/>
        </w:rPr>
        <w:t>צד א׳ – שם מלא/שם חברה, מספר מזהה וכתובת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צד ב׳ – שם מלא/שם חברה, מספר מזהה וכתובת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color w:val="15866F"/>
          <w:sz w:val="30"/>
          <w:rtl w:val="1"/>
        </w:rPr>
        <w:t>פרטי שירותי התיווך</w:t>
      </w:r>
    </w:p>
    <w:p>
      <w:pPr>
        <w:spacing w:after="40" w:line="276" w:lineRule="auto"/>
        <w:jc w:val="left"/>
        <w:bidi w:val="1"/>
      </w:pPr>
      <w:r>
        <w:rPr>
          <w:rFonts w:ascii="Arial" w:hAnsi="Arial" w:cs="Arial"/>
          <w:b/>
          <w:color w:val="102B3F"/>
          <w:sz w:val="22"/>
          <w:rtl w:val="1"/>
        </w:rPr>
        <w:t>הנכס/העסקה המבוקשת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תקופת ההתקשרות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דמי התיווך ומועד הזכאות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שירותים והתחייבויות הצדדים</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color w:val="15866F"/>
          <w:sz w:val="30"/>
          <w:rtl w:val="1"/>
        </w:rPr>
        <w:t>יישוב מחלוקות ובוררות</w:t>
      </w:r>
    </w:p>
    <w:p>
      <w:pPr>
        <w:spacing w:after="240" w:line="276" w:lineRule="auto"/>
        <w:jc w:val="left"/>
        <w:bidi w:val="1"/>
      </w:pPr>
      <w:r>
        <w:rPr>
          <w:rFonts w:ascii="Arial" w:hAnsi="Arial" w:cs="Arial"/>
          <w:b w:val="0"/>
          <w:sz w:val="22"/>
          <w:rtl w:val="1"/>
        </w:rPr>
        <w:t>כל מחלוקת, טענה או דרישה הנובעת מהסכם זה או הקשורה אליו, לרבות כריתתו, פרשנותו, ביצועו, הפרתו או סיומו, תובא תחילה להליך בוררות באמצעות FairPath. הצדדים מתחייבים לשתף פעולה עם פתיחת ההליך ולחתום, ככל שיידרש, על שטר בוררות מפורט שיקבע את זהות הבוררים, סדרי הדין, המועדים, הסודיות ואפשרות הערעור לערכאת בוררות שנייה. הבוררות תתנהל בהתאם להסכמת הצדדים ולהוראות הדין החל. אין בסעיף זה כדי לגרוע מזכות לפנות לערכאה מוסמכת לקבלת סעד זמני או בכל מקרה שבו הדין אינו מאפשר למסור את העניין לבוררות.</w:t>
      </w:r>
    </w:p>
    <w:p>
      <w:pPr>
        <w:spacing w:after="140" w:line="276" w:lineRule="auto"/>
        <w:jc w:val="left"/>
        <w:bidi w:val="1"/>
      </w:pPr>
      <w:r>
        <w:rPr>
          <w:rFonts w:ascii="Arial" w:hAnsi="Arial" w:cs="Arial"/>
          <w:b/>
          <w:color w:val="15866F"/>
          <w:sz w:val="30"/>
          <w:rtl w:val="1"/>
        </w:rPr>
        <w:t>הוראות כלליות</w:t>
      </w:r>
    </w:p>
    <w:p>
      <w:pPr>
        <w:spacing w:after="120" w:line="276" w:lineRule="auto"/>
        <w:jc w:val="left"/>
        <w:bidi w:val="1"/>
      </w:pPr>
      <w:r>
        <w:rPr>
          <w:rFonts w:ascii="Arial" w:hAnsi="Arial" w:cs="Arial"/>
          <w:b w:val="0"/>
          <w:sz w:val="22"/>
          <w:rtl w:val="1"/>
        </w:rPr>
        <w:t>שינוי להסכם יהיה בכתב ובחתימת הצדדים. כתובות הצדדים לעיל ישמשו למסירת הודעות, אלא אם נמסרה הודעה אחרת בכתב.</w:t>
      </w:r>
    </w:p>
    <w:p>
      <w:pPr>
        <w:spacing w:after="140" w:line="276" w:lineRule="auto"/>
        <w:jc w:val="left"/>
        <w:bidi w:val="1"/>
      </w:pPr>
      <w:r>
        <w:rPr>
          <w:rFonts w:ascii="Arial" w:hAnsi="Arial" w:cs="Arial"/>
          <w:b/>
          <w:color w:val="15866F"/>
          <w:sz w:val="30"/>
          <w:rtl w:val="1"/>
        </w:rPr>
        <w:t>חתימות</w:t>
      </w:r>
    </w:p>
    <w:p>
      <w:pPr>
        <w:spacing w:after="120" w:line="276" w:lineRule="auto"/>
        <w:jc w:val="left"/>
        <w:bidi w:val="1"/>
      </w:pPr>
      <w:r>
        <w:rPr>
          <w:rFonts w:ascii="Arial" w:hAnsi="Arial" w:cs="Arial"/>
          <w:b w:val="0"/>
          <w:sz w:val="22"/>
          <w:rtl w:val="1"/>
        </w:rPr>
        <w:t>צד א׳: ____________________   חתימה: ____________________   תאריך: __________</w:t>
      </w:r>
    </w:p>
    <w:p>
      <w:pPr>
        <w:spacing w:after="120" w:line="276" w:lineRule="auto"/>
        <w:jc w:val="left"/>
        <w:bidi w:val="1"/>
      </w:pPr>
      <w:r>
        <w:rPr>
          <w:rFonts w:ascii="Arial" w:hAnsi="Arial" w:cs="Arial"/>
          <w:b w:val="0"/>
          <w:sz w:val="22"/>
          <w:rtl w:val="1"/>
        </w:rPr>
        <w:t>צד ב׳: ____________________   חתימה: ____________________   תאריך: __________</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bidi w:val="1"/>
    </w:pPr>
    <w:r>
      <w:rPr>
        <w:rFonts w:ascii="Arial" w:hAnsi="Arial" w:cs="Arial"/>
        <w:b w:val="0"/>
        <w:color w:val="5C707B"/>
        <w:sz w:val="16"/>
        <w:rtl w:val="1"/>
      </w:rPr>
      <w:t>תבנית להמחשה בלבד · מומלץ לקבל ייעוץ משפטי לפני חתימה</w:t>
    </w:r>
    <w:r>
      <w:rPr/>
      <w:t xml:space="preserve">fairpath.uk  </w:t>
    </w:r>
    <w:r>
      <w:drawing>
        <wp:inline xmlns:a="http://schemas.openxmlformats.org/drawingml/2006/main" xmlns:pic="http://schemas.openxmlformats.org/drawingml/2006/picture">
          <wp:extent cx="438912" cy="438912"/>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438912" cy="438912"/>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bidi w:val="1"/>
    </w:pPr>
    <w:r>
      <w:rPr>
        <w:rFonts w:ascii="Arial" w:hAnsi="Arial" w:cs="Arial"/>
        <w:b/>
        <w:color w:val="15866F"/>
        <w:sz w:val="18"/>
        <w:rtl w:val="1"/>
      </w:rPr>
      <w:t>FairPath  |  טפסים וחוזים</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