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left"/>
        <w:bidi w:val="1"/>
      </w:pPr>
      <w:r>
        <w:rPr>
          <w:rFonts w:ascii="Arial" w:hAnsi="Arial" w:cs="Arial"/>
          <w:b/>
          <w:color w:val="102B3F"/>
          <w:sz w:val="48"/>
          <w:rtl w:val="1"/>
        </w:rPr>
        <w:t>שטר בוררות</w:t>
      </w:r>
    </w:p>
    <w:p>
      <w:pPr>
        <w:spacing w:after="320" w:line="276" w:lineRule="auto"/>
        <w:jc w:val="left"/>
        <w:bidi w:val="1"/>
      </w:pPr>
      <w:r>
        <w:rPr>
          <w:rFonts w:ascii="Arial" w:hAnsi="Arial" w:cs="Arial"/>
          <w:b w:val="0"/>
          <w:color w:val="5C707B"/>
          <w:sz w:val="22"/>
          <w:rtl w:val="1"/>
        </w:rPr>
        <w:t>מסמך הסכמה מפורט לפתיחת וניהול הליך בוררות באמצעות FairPath.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/>
          <w:color w:val="15866F"/>
          <w:sz w:val="30"/>
          <w:rtl w:val="1"/>
        </w:rPr>
        <w:t>הצדדים והמחלוקת</w:t>
      </w:r>
    </w:p>
    <w:p>
      <w:pPr>
        <w:spacing w:after="40" w:line="276" w:lineRule="auto"/>
        <w:jc w:val="left"/>
        <w:bidi w:val="1"/>
      </w:pPr>
      <w:r>
        <w:rPr>
          <w:rFonts w:ascii="Arial" w:hAnsi="Arial" w:cs="Arial"/>
          <w:b/>
          <w:color w:val="102B3F"/>
          <w:sz w:val="22"/>
          <w:rtl w:val="1"/>
        </w:rPr>
        <w:t>פרטי התובע/ה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 w:val="0"/>
          <w:color w:val="5C707B"/>
          <w:sz w:val="22"/>
          <w:rtl w:val="1"/>
        </w:rPr>
        <w:t>__________________________________________________________________</w:t>
      </w:r>
    </w:p>
    <w:p>
      <w:pPr>
        <w:spacing w:after="40" w:line="276" w:lineRule="auto"/>
        <w:jc w:val="left"/>
        <w:bidi w:val="1"/>
      </w:pPr>
      <w:r>
        <w:rPr>
          <w:rFonts w:ascii="Arial" w:hAnsi="Arial" w:cs="Arial"/>
          <w:b/>
          <w:color w:val="102B3F"/>
          <w:sz w:val="22"/>
          <w:rtl w:val="1"/>
        </w:rPr>
        <w:t>פרטי הנתבע/ת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 w:val="0"/>
          <w:color w:val="5C707B"/>
          <w:sz w:val="22"/>
          <w:rtl w:val="1"/>
        </w:rPr>
        <w:t>__________________________________________________________________</w:t>
      </w:r>
    </w:p>
    <w:p>
      <w:pPr>
        <w:spacing w:after="40" w:line="276" w:lineRule="auto"/>
        <w:jc w:val="left"/>
        <w:bidi w:val="1"/>
      </w:pPr>
      <w:r>
        <w:rPr>
          <w:rFonts w:ascii="Arial" w:hAnsi="Arial" w:cs="Arial"/>
          <w:b/>
          <w:color w:val="102B3F"/>
          <w:sz w:val="22"/>
          <w:rtl w:val="1"/>
        </w:rPr>
        <w:t>תיאור קצר של המחלוקת והסעד המבוקש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 w:val="0"/>
          <w:color w:val="5C707B"/>
          <w:sz w:val="22"/>
          <w:rtl w:val="1"/>
        </w:rPr>
        <w:t>__________________________________________________________________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 w:val="0"/>
          <w:color w:val="5C707B"/>
          <w:sz w:val="22"/>
          <w:rtl w:val="1"/>
        </w:rPr>
        <w:t>__________________________________________________________________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 w:val="0"/>
          <w:color w:val="5C707B"/>
          <w:sz w:val="22"/>
          <w:rtl w:val="1"/>
        </w:rPr>
        <w:t>__________________________________________________________________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/>
          <w:color w:val="15866F"/>
          <w:sz w:val="30"/>
          <w:rtl w:val="1"/>
        </w:rPr>
        <w:t>הסכמה לבוררות</w:t>
      </w:r>
    </w:p>
    <w:p>
      <w:pPr>
        <w:spacing w:after="120" w:line="276" w:lineRule="auto"/>
        <w:jc w:val="left"/>
        <w:bidi w:val="1"/>
      </w:pPr>
      <w:r>
        <w:rPr>
          <w:rFonts w:ascii="Arial" w:hAnsi="Arial" w:cs="Arial"/>
          <w:b w:val="0"/>
          <w:sz w:val="22"/>
          <w:rtl w:val="1"/>
        </w:rPr>
        <w:t>הצדדים מוסרים את המחלוקת המתוארת לעיל להכרעת שני הבוררים שנבחרו באמצעות תהליך FairPath, ומאשרים כי קיבלו הזדמנות לעיין בכללי ההליך ולקבל ייעוץ עצמאי לפני החתימה.</w:t>
      </w:r>
    </w:p>
    <w:p>
      <w:pPr>
        <w:spacing w:after="40" w:line="276" w:lineRule="auto"/>
        <w:jc w:val="left"/>
        <w:bidi w:val="1"/>
      </w:pPr>
      <w:r>
        <w:rPr>
          <w:rFonts w:ascii="Arial" w:hAnsi="Arial" w:cs="Arial"/>
          <w:b/>
          <w:color w:val="102B3F"/>
          <w:sz w:val="22"/>
          <w:rtl w:val="1"/>
        </w:rPr>
        <w:t>שמות שני הבוררים שנבחרו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 w:val="0"/>
          <w:color w:val="5C707B"/>
          <w:sz w:val="22"/>
          <w:rtl w:val="1"/>
        </w:rPr>
        <w:t>__________________________________________________________________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/>
          <w:color w:val="15866F"/>
          <w:sz w:val="30"/>
          <w:rtl w:val="1"/>
        </w:rPr>
        <w:t>כללי יסוד</w:t>
      </w:r>
    </w:p>
    <w:p>
      <w:pPr>
        <w:spacing w:after="120" w:line="276" w:lineRule="auto"/>
        <w:jc w:val="left"/>
        <w:bidi w:val="1"/>
      </w:pPr>
      <w:r>
        <w:rPr>
          <w:rFonts w:ascii="Arial" w:hAnsi="Arial" w:cs="Arial"/>
          <w:b w:val="0"/>
          <w:sz w:val="22"/>
          <w:rtl w:val="1"/>
        </w:rPr>
        <w:t>הדיון יתנהל באופן חסוי ובשוויון הזדמנויות; כל צד יוכל להציג טענות, מסמכים ועדויות בהתאם להחלטות הבוררים. המזכירות מנהלת את ההליך הטכני ואינה מכריעה במחלוקת.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/>
          <w:color w:val="15866F"/>
          <w:sz w:val="30"/>
          <w:rtl w:val="1"/>
        </w:rPr>
        <w:t>ערעור</w:t>
      </w:r>
    </w:p>
    <w:p>
      <w:pPr>
        <w:spacing w:after="120" w:line="276" w:lineRule="auto"/>
        <w:jc w:val="left"/>
        <w:bidi w:val="1"/>
      </w:pPr>
      <w:r>
        <w:rPr>
          <w:rFonts w:ascii="Arial" w:hAnsi="Arial" w:cs="Arial"/>
          <w:b w:val="0"/>
          <w:sz w:val="22"/>
          <w:rtl w:val="1"/>
        </w:rPr>
        <w:t>בחירת הצדדים:  ☐ פסק סופי ללא ערעור פנימי   ☐ ערעור בפני ערכאת בוררות שנייה, בהתאם לכללים ולמועדים שיצורפו לשטר זה. יש לקבל ייעוץ משפטי, שכן למסלול הערעור עשויות להיות דרישות הקבועות בדין.</w:t>
      </w:r>
    </w:p>
    <w:p>
      <w:pPr>
        <w:spacing w:after="140" w:line="276" w:lineRule="auto"/>
        <w:jc w:val="left"/>
        <w:bidi w:val="1"/>
      </w:pPr>
      <w:r>
        <w:rPr>
          <w:rFonts w:ascii="Arial" w:hAnsi="Arial" w:cs="Arial"/>
          <w:b/>
          <w:color w:val="15866F"/>
          <w:sz w:val="30"/>
          <w:rtl w:val="1"/>
        </w:rPr>
        <w:t>חתימות</w:t>
      </w:r>
    </w:p>
    <w:p>
      <w:pPr>
        <w:spacing w:after="120" w:line="276" w:lineRule="auto"/>
        <w:jc w:val="left"/>
        <w:bidi w:val="1"/>
      </w:pPr>
      <w:r>
        <w:rPr>
          <w:rFonts w:ascii="Arial" w:hAnsi="Arial" w:cs="Arial"/>
          <w:b w:val="0"/>
          <w:sz w:val="22"/>
          <w:rtl w:val="1"/>
        </w:rPr>
        <w:t>צד א׳: ____________________   חתימה: ____________________   תאריך: __________</w:t>
      </w:r>
    </w:p>
    <w:p>
      <w:pPr>
        <w:spacing w:after="120" w:line="276" w:lineRule="auto"/>
        <w:jc w:val="left"/>
        <w:bidi w:val="1"/>
      </w:pPr>
      <w:r>
        <w:rPr>
          <w:rFonts w:ascii="Arial" w:hAnsi="Arial" w:cs="Arial"/>
          <w:b w:val="0"/>
          <w:sz w:val="22"/>
          <w:rtl w:val="1"/>
        </w:rPr>
        <w:t>צד ב׳: ____________________   חתימה: ____________________   תאריך: 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  <w:bidi w:val="1"/>
    </w:pPr>
    <w:r>
      <w:rPr>
        <w:rFonts w:ascii="Arial" w:hAnsi="Arial" w:cs="Arial"/>
        <w:b w:val="0"/>
        <w:color w:val="5C707B"/>
        <w:sz w:val="16"/>
        <w:rtl w:val="1"/>
      </w:rPr>
      <w:t>תבנית להמחשה בלבד · מומלץ לקבל ייעוץ משפטי לפני חתימה</w:t>
    </w:r>
    <w:r>
      <w:rPr/>
      <w:t xml:space="preserve">fairpath.uk  </w:t>
    </w:r>
    <w:r>
      <w:drawing>
        <wp:inline xmlns:a="http://schemas.openxmlformats.org/drawingml/2006/main" xmlns:pic="http://schemas.openxmlformats.org/drawingml/2006/picture">
          <wp:extent cx="438912" cy="438912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8912" cy="438912"/>
                  </a:xfrm>
                  <a:prstGeom prst="rect"/>
                </pic:spPr>
              </pic:pic>
            </a:graphicData>
          </a:graphic>
        </wp:inline>
      </w:drawing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bidi w:val="1"/>
    </w:pPr>
    <w:r>
      <w:rPr>
        <w:rFonts w:ascii="Arial" w:hAnsi="Arial" w:cs="Arial"/>
        <w:b/>
        <w:color w:val="15866F"/>
        <w:sz w:val="18"/>
        <w:rtl w:val="1"/>
      </w:rPr>
      <w:t>FairPath  |  טפסים וחוזים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